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80"/>
      </w:pPr>
      <w:r>
        <w:rPr>
          <w:b/>
          <w:sz w:val="32"/>
          <w:szCs w:val="32"/>
          <w:rFonts w:ascii="Malgun Gothic" w:hAnsi="Malgun Gothic" w:eastAsia="Malgun Gothic"/>
        </w:rPr>
        <w:t>011_에코그린팜 센서설치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미팅명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011_에코그린팜 센서설치</w:t>
            </w:r>
          </w:p>
        </w:tc>
      </w:t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날짜, 시간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2026-04-23 08:00 ~ 09:00</w:t>
            </w:r>
          </w:p>
        </w:tc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장소, 주소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에코그린 팜 농장 / DA NGHIT, LẠC DƯƠNG ,LÂM ĐỒNG VIÊT NAM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참석자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소속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이름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직책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연락처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이효진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대표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010-3916-6381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김보묵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팀장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010-7109-6564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남승진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통역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기타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NGUYEN VAN TUYEN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Eco Green Farm/농장주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84-973007373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회의내용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9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- 컨테이너 설치 위치 조사 및 2025년 6월부터 설치된 데이터 센서 박스의 메인보드 교체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회의사진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1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2381250" cy="1073992"/>
                  <wp:docPr id="1" name="image1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073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2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707152" cy="1571625"/>
                  <wp:docPr id="1" name="image2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52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3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1769176" cy="1571625"/>
                  <wp:docPr id="1" name="image3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76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Malgun Gothic" w:hAnsi="Malgun Gothic" w:eastAsia="Malgun Gothic"/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image" Target="media/image3.png"/></Relationships>
</file>